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06.04.2023 N 240</w:t>
              <w:br/>
              <w:t xml:space="preserve"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w:br/>
              <w:t xml:space="preserve">(Зарегистрировано в Минюсте России 15.05.2023 N 73315)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мая 2023 г. N 73315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апреля 2023 г. N 240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В ДРУГИЕ ОРГАНИЗАЦИИ,</w:t>
      </w:r>
    </w:p>
    <w:p>
      <w:pPr>
        <w:pStyle w:val="2"/>
        <w:jc w:val="center"/>
      </w:pPr>
      <w:r>
        <w:rPr>
          <w:sz w:val="20"/>
        </w:rPr>
        <w:t xml:space="preserve">ОСУЩЕСТВЛЯЮЩИЕ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СООТВЕТСТВУЮЩИХ</w:t>
      </w:r>
    </w:p>
    <w:p>
      <w:pPr>
        <w:pStyle w:val="2"/>
        <w:jc w:val="center"/>
      </w:pPr>
      <w:r>
        <w:rPr>
          <w:sz w:val="20"/>
        </w:rPr>
        <w:t xml:space="preserve">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пунктом 15 части 1</w:t>
        </w:r>
      </w:hyperlink>
      <w:r>
        <w:rPr>
          <w:sz w:val="20"/>
        </w:rPr>
        <w:t xml:space="preserve"> и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частью 9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9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подпунктами 4.2.15</w:t>
        </w:r>
      </w:hyperlink>
      <w:r>
        <w:rPr>
          <w:sz w:val="20"/>
        </w:rPr>
        <w:t xml:space="preserve"> - </w:t>
      </w:r>
      <w:hyperlink w:history="0" r:id="rId11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4.2.17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7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обрнауки России от 12.03.2014 N 177 (ред. от 17.01.2019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08.05.2014 N 322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просвещения России от 17.01.2019 N 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2023 г. и действует до 1 сентября 2029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апреля 2023 г. N 240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В ДРУГИЕ ОРГАНИЗАЦИИ,</w:t>
      </w:r>
    </w:p>
    <w:p>
      <w:pPr>
        <w:pStyle w:val="2"/>
        <w:jc w:val="center"/>
      </w:pPr>
      <w:r>
        <w:rPr>
          <w:sz w:val="20"/>
        </w:rPr>
        <w:t xml:space="preserve">ОСУЩЕСТВЛЯЮЩИЕ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СООТВЕТСТВУЮЩИХ</w:t>
      </w:r>
    </w:p>
    <w:p>
      <w:pPr>
        <w:pStyle w:val="2"/>
        <w:jc w:val="center"/>
      </w:pPr>
      <w:r>
        <w:rPr>
          <w:sz w:val="20"/>
        </w:rPr>
        <w:t xml:space="preserve">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инициативе совершеннолетнего обучающегося или родителей </w:t>
      </w:r>
      <w:hyperlink w:history="0" r:id="rId1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несовершеннолетнего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приостановления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Порядка не распространяется на образовательные организации, указанные в </w:t>
      </w:r>
      <w:hyperlink w:history="0" r:id="rId15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части 5 статьи 77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 9 статьи 22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7" w:tooltip="&quot;Уголовно-исполнительный кодекс Российской Федерации&quot; от 08.01.1997 N 1-ФЗ (ред. от 24.06.2023) (с изм. и доп., вступ. в силу с 11.12.2023) {КонсультантПлюс}">
        <w:r>
          <w:rPr>
            <w:sz w:val="20"/>
            <w:color w:val="0000ff"/>
          </w:rPr>
          <w:t xml:space="preserve">Часть 2 статьи 141</w:t>
        </w:r>
      </w:hyperlink>
      <w:r>
        <w:rPr>
          <w:sz w:val="20"/>
        </w:rPr>
        <w:t xml:space="preserve"> Уголовно-исполнительного кодекса Российской Федерации от 8 января 1997 г. N 1-ФЗ.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Перевод обучающихся не зависит от периода (времени) учебного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Перевод совершеннолетнего обучающегося</w:t>
      </w:r>
    </w:p>
    <w:p>
      <w:pPr>
        <w:pStyle w:val="2"/>
        <w:jc w:val="center"/>
      </w:pPr>
      <w:r>
        <w:rPr>
          <w:sz w:val="20"/>
        </w:rPr>
        <w:t xml:space="preserve">по его инициативе или несовершеннолетнего обучающегося</w:t>
      </w:r>
    </w:p>
    <w:p>
      <w:pPr>
        <w:pStyle w:val="2"/>
        <w:jc w:val="center"/>
      </w:pPr>
      <w:r>
        <w:rPr>
          <w:sz w:val="20"/>
        </w:rPr>
        <w:t xml:space="preserve">по инициативе его родителей (законных представителей)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w:history="0" r:id="rId1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совершеннолетний обучающийся или </w:t>
      </w:r>
      <w:r>
        <w:rPr>
          <w:sz w:val="20"/>
          <w:highlight w:val="red"/>
        </w:rPr>
        <w:t xml:space="preserve">родители (законные представители) </w:t>
      </w:r>
      <w:r>
        <w:rPr>
          <w:sz w:val="20"/>
        </w:rPr>
        <w:t xml:space="preserve">несовершеннолетнего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осуществляют выбор принимающей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а) фамилия, имя, отчество (при наличии)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в) класс и профиль обучения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а) личное дело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red"/>
        </w:rPr>
        <w:t xml:space="preserve"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Документы, указанные в </w:t>
      </w:r>
      <w:hyperlink w:history="0"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9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history="0"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с указанием даты зачисления и класса.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Перевод обучающегося в случае прекращения</w:t>
      </w:r>
    </w:p>
    <w:p>
      <w:pPr>
        <w:pStyle w:val="2"/>
        <w:jc w:val="center"/>
      </w:pPr>
      <w:r>
        <w:rPr>
          <w:sz w:val="20"/>
        </w:rPr>
        <w:t xml:space="preserve">деятельности исходной организации, аннулирования лицензии,</w:t>
      </w:r>
    </w:p>
    <w:p>
      <w:pPr>
        <w:pStyle w:val="2"/>
        <w:jc w:val="center"/>
      </w:pPr>
      <w:r>
        <w:rPr>
          <w:sz w:val="20"/>
        </w:rPr>
        <w:t xml:space="preserve">лишения ее государственной аккредитации по соответствующей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программе, прекращения действия</w:t>
      </w:r>
    </w:p>
    <w:p>
      <w:pPr>
        <w:pStyle w:val="2"/>
        <w:jc w:val="center"/>
      </w:pPr>
      <w:r>
        <w:rPr>
          <w:sz w:val="20"/>
        </w:rPr>
        <w:t xml:space="preserve">государственной аккредитации; в случае</w:t>
      </w:r>
    </w:p>
    <w:p>
      <w:pPr>
        <w:pStyle w:val="2"/>
        <w:jc w:val="center"/>
      </w:pPr>
      <w:r>
        <w:rPr>
          <w:sz w:val="20"/>
        </w:rPr>
        <w:t xml:space="preserve">приостановления действия лицензии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на перевод в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0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граммам&quot; и о признании утратившим силу постановления Правительства Российской Федерации от 24 мая 2013 г. N 43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Учредитель, за исключением случая, указанного в </w:t>
      </w:r>
      <w:hyperlink w:history="0" w:anchor="P94" w:tooltip=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Порядка, осуществляет выбор принимающих организаций с использованием: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сведений, содержащихся в Реестре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После получения соответствующих письменных согласий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личные дела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06.04.2023 N 240</w:t>
            <w:br/>
            <w:t>"Об утверждении Порядка и условий осуществления перевода обучающихся 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1363&amp;dst=230" TargetMode = "External"/>
	<Relationship Id="rId8" Type="http://schemas.openxmlformats.org/officeDocument/2006/relationships/hyperlink" Target="https://login.consultant.ru/link/?req=doc&amp;base=LAW&amp;n=461363&amp;dst=790" TargetMode = "External"/>
	<Relationship Id="rId9" Type="http://schemas.openxmlformats.org/officeDocument/2006/relationships/hyperlink" Target="https://login.consultant.ru/link/?req=doc&amp;base=LAW&amp;n=470436&amp;dst=100015" TargetMode = "External"/>
	<Relationship Id="rId10" Type="http://schemas.openxmlformats.org/officeDocument/2006/relationships/hyperlink" Target="https://login.consultant.ru/link/?req=doc&amp;base=LAW&amp;n=470436&amp;dst=29" TargetMode = "External"/>
	<Relationship Id="rId11" Type="http://schemas.openxmlformats.org/officeDocument/2006/relationships/hyperlink" Target="https://login.consultant.ru/link/?req=doc&amp;base=LAW&amp;n=470436&amp;dst=31" TargetMode = "External"/>
	<Relationship Id="rId12" Type="http://schemas.openxmlformats.org/officeDocument/2006/relationships/hyperlink" Target="https://login.consultant.ru/link/?req=doc&amp;base=LAW&amp;n=317532" TargetMode = "External"/>
	<Relationship Id="rId13" Type="http://schemas.openxmlformats.org/officeDocument/2006/relationships/hyperlink" Target="https://login.consultant.ru/link/?req=doc&amp;base=LAW&amp;n=317485" TargetMode = "External"/>
	<Relationship Id="rId14" Type="http://schemas.openxmlformats.org/officeDocument/2006/relationships/hyperlink" Target="https://login.consultant.ru/link/?req=doc&amp;base=LAW&amp;n=99661&amp;dst=100004" TargetMode = "External"/>
	<Relationship Id="rId15" Type="http://schemas.openxmlformats.org/officeDocument/2006/relationships/hyperlink" Target="https://login.consultant.ru/link/?req=doc&amp;base=LAW&amp;n=461363&amp;dst=101027" TargetMode = "External"/>
	<Relationship Id="rId16" Type="http://schemas.openxmlformats.org/officeDocument/2006/relationships/hyperlink" Target="https://login.consultant.ru/link/?req=doc&amp;base=LAW&amp;n=461363&amp;dst=147" TargetMode = "External"/>
	<Relationship Id="rId17" Type="http://schemas.openxmlformats.org/officeDocument/2006/relationships/hyperlink" Target="https://login.consultant.ru/link/?req=doc&amp;base=LAW&amp;n=449456&amp;dst=340" TargetMode = "External"/>
	<Relationship Id="rId18" Type="http://schemas.openxmlformats.org/officeDocument/2006/relationships/hyperlink" Target="https://login.consultant.ru/link/?req=doc&amp;base=LAW&amp;n=99661&amp;dst=100004" TargetMode = "External"/>
	<Relationship Id="rId19" Type="http://schemas.openxmlformats.org/officeDocument/2006/relationships/hyperlink" Target="https://login.consultant.ru/link/?req=doc&amp;base=LAW&amp;n=461363&amp;dst=153" TargetMode = "External"/>
	<Relationship Id="rId20" Type="http://schemas.openxmlformats.org/officeDocument/2006/relationships/hyperlink" Target="https://login.consultant.ru/link/?req=doc&amp;base=LAW&amp;n=4444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06.04.2023 N 240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15.05.2023 N 73315)</dc:title>
  <dcterms:created xsi:type="dcterms:W3CDTF">2024-06-07T10:08:54Z</dcterms:created>
</cp:coreProperties>
</file>